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C029AD">
        <w:rPr>
          <w:rFonts w:ascii="Times" w:hAnsi="Times"/>
          <w:color w:val="000000"/>
          <w:sz w:val="27"/>
          <w:szCs w:val="27"/>
        </w:rPr>
        <w:t>c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3F77F" wp14:editId="7F6A9D6C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9686289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AF139" id="Rectangle 4" o:spid="_x0000_s1026" style="position:absolute;margin-left:.35pt;margin-top:11.3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" fillcolor="#d8d8d8"/>
            </w:pict>
          </mc:Fallback>
        </mc:AlternateContent>
      </w:r>
      <w:r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633B8" wp14:editId="2C9ADA82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7317898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D2A3B" id="Rectangle 5" o:spid="_x0000_s1026" style="position:absolute;margin-left:.35pt;margin-top:12.1pt;width:26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A=&#10;"/>
            </w:pict>
          </mc:Fallback>
        </mc:AlternateConten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dominujące 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nowe 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zmiany, jakie zaszły 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homo viator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Francuscy poeci przeklęci – Paul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Verlaine</w:t>
            </w:r>
            <w:proofErr w:type="spellEnd"/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Kurtza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podstawie utworu 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przedstawioną w utworze 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Kurtzem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Kurtza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narzeczoną Kurtza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wspólne wiersza i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wypowiedzieć się na temat funkcji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 adresatem lirycznym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Curriculum vitae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obyczajowość 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wady i zalety podporządkowania się wspólnocie oraz jej 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>ć fragment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Chłopów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>w kontekście komentarza 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przedstawionej przez Stanisława Wyspiańskiego 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, na czym polega mitologizacja i demitologizacja narodowej przeszłości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oraz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Dulskiej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Gabrieli Zapolskiej 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sposób postrzegania instytucji małżeństwa przez Dulską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wyglądu salonu Dulskich pod kątem sposobu, w jaki charakteryzuje on 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Dulskiej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Dulscy – dramat uniwersalny (lektura uzupełniająca)</w:t>
            </w:r>
          </w:p>
        </w:tc>
        <w:tc>
          <w:tcPr>
            <w:tcW w:w="2319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Emmę Bovary i Anielę Dulską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zaimków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definiować ironię jako 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sposoby 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specyfikę 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różnych 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grupy Skamander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Tłumie! Ty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masz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Krystyny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utworach elementy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tematy wierszy Marii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Pawlikowskiej-Jasnorzewskiej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wizji rzeczywistości wyłaniającej się z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dom rodzinny Cezarego Baryki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stosunek do rewolucji Cezarego Baryki, Seweryna Baryki i Jadwigi Barykowej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Baryki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opisaną w powieści rzeczywistość 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recepty Szymona Gajowca i 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dosłowne i 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sceny, w której Cezary Baryka 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do Polski Seweryna Baryki, Jadwigi Barykowej i Cezarego Baryki</w:t>
            </w:r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wykorzystania w wierszu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mitu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 mechanizm symetrii 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wojny na miny i 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groteskowy charakter 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Płazy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Hiper-Robociarza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>ychologiczne motywacje 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grup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Mileny Chmielewskiej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>Franza Kafki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Woland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scharakteryzować Wolanda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przemiany Małgorzaty w wiedźmę w kontekście 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zreinterpretowania historii Fausta i Małgorzaty w 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Judy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Wolandem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odwołań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kompozycyjną funkcję paralelizmów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przedstawiony w wierszu motyw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prosta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przedstawione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człowieka zlagrowanego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Dekalog odwrócony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>Gustawa Herlinga-Grudzińskiego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Wierny Rusłan.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emocje Rusłana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rolę, jaką Rusłan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historię Rusłana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Rusłana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relacji 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 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Krall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strategie unikania języka 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lastRenderedPageBreak/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wypracowania o charakterze maturalnym, testy syntetyzujące wiedzę i umiejętności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dotyczące co najmniej dwóch epok literackich: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sprawdziany dotyczące: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znajomości lektur, wiedzy o epoce oraz sprawdzające kompetencje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językowe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>W przypadku usprawiedliwionej nieobecności uczeń ma prawo do uzgodnienia z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3342AC">
        <w:rPr>
          <w:rFonts w:ascii="Times" w:hAnsi="Times"/>
          <w:color w:val="000000"/>
          <w:sz w:val="27"/>
          <w:szCs w:val="27"/>
        </w:rPr>
        <w:t>nauczycielem terminu uzupełnienia braków i zaliczenia sprawdzianów, których z powodu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3342AC">
        <w:rPr>
          <w:rFonts w:ascii="Times" w:hAnsi="Times"/>
          <w:color w:val="000000"/>
          <w:sz w:val="27"/>
          <w:szCs w:val="27"/>
        </w:rPr>
        <w:t xml:space="preserve">absencji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C029AD" w:rsidRDefault="00C029AD" w:rsidP="005D037E"/>
    <w:p w:rsidR="00C029AD" w:rsidRPr="00C029AD" w:rsidRDefault="00C029AD" w:rsidP="00C029AD">
      <w:pPr>
        <w:rPr>
          <w:sz w:val="28"/>
          <w:szCs w:val="28"/>
        </w:rPr>
      </w:pPr>
      <w:r w:rsidRPr="00C029AD">
        <w:rPr>
          <w:sz w:val="28"/>
          <w:szCs w:val="28"/>
        </w:rPr>
        <w:t>Opracowała: Ewa Kołacz</w:t>
      </w:r>
    </w:p>
    <w:p w:rsidR="005D037E" w:rsidRDefault="005D037E"/>
    <w:sectPr w:rsidR="005D037E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730722">
    <w:abstractNumId w:val="2"/>
  </w:num>
  <w:num w:numId="2" w16cid:durableId="733745900">
    <w:abstractNumId w:val="0"/>
  </w:num>
  <w:num w:numId="3" w16cid:durableId="148369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33"/>
    <w:rsid w:val="00441DC5"/>
    <w:rsid w:val="004A08CB"/>
    <w:rsid w:val="00506B33"/>
    <w:rsid w:val="005D037E"/>
    <w:rsid w:val="005E3F21"/>
    <w:rsid w:val="00671122"/>
    <w:rsid w:val="00C029AD"/>
    <w:rsid w:val="00CA0391"/>
    <w:rsid w:val="00E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A93C"/>
  <w15:docId w15:val="{086AEC1E-77AA-F347-842E-906532C7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11107</Words>
  <Characters>66646</Characters>
  <Application>Microsoft Office Word</Application>
  <DocSecurity>0</DocSecurity>
  <Lines>555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PEAQ</dc:creator>
  <dc:description/>
  <cp:lastModifiedBy>Lenovo ThinkPad</cp:lastModifiedBy>
  <cp:revision>9</cp:revision>
  <dcterms:created xsi:type="dcterms:W3CDTF">2025-08-30T10:45:00Z</dcterms:created>
  <dcterms:modified xsi:type="dcterms:W3CDTF">2025-09-02T19:53:00Z</dcterms:modified>
  <dc:language>pl-PL</dc:language>
</cp:coreProperties>
</file>